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B1EE" w14:textId="5F37A56A" w:rsidR="000F048A" w:rsidRDefault="00007689">
      <w:pPr>
        <w:tabs>
          <w:tab w:val="left" w:pos="5871"/>
        </w:tabs>
        <w:spacing w:before="76" w:line="247" w:lineRule="exact"/>
        <w:ind w:left="112"/>
      </w:pPr>
      <w:r>
        <w:rPr>
          <w:b/>
        </w:rPr>
        <w:t>BRONWYN</w:t>
      </w:r>
      <w:r>
        <w:rPr>
          <w:b/>
          <w:spacing w:val="-3"/>
        </w:rPr>
        <w:t xml:space="preserve"> </w:t>
      </w:r>
      <w:r>
        <w:rPr>
          <w:b/>
        </w:rPr>
        <w:t>ROANTREE</w:t>
      </w:r>
      <w:r>
        <w:rPr>
          <w:b/>
        </w:rPr>
        <w:tab/>
      </w:r>
      <w:r>
        <w:t>4</w:t>
      </w:r>
      <w:r w:rsidR="00951C01">
        <w:t>56 W. Lake Rd</w:t>
      </w:r>
      <w:r>
        <w:t xml:space="preserve"> </w:t>
      </w:r>
      <w:r w:rsidR="00951C01">
        <w:t xml:space="preserve">Tuxedo Park, </w:t>
      </w:r>
      <w:r>
        <w:t>NY</w:t>
      </w:r>
      <w:r>
        <w:rPr>
          <w:spacing w:val="-29"/>
        </w:rPr>
        <w:t xml:space="preserve"> </w:t>
      </w:r>
      <w:r>
        <w:t>10</w:t>
      </w:r>
      <w:r w:rsidR="00951C01">
        <w:t>987</w:t>
      </w:r>
    </w:p>
    <w:p w14:paraId="77D9B772" w14:textId="77777777" w:rsidR="000F048A" w:rsidRDefault="00007689">
      <w:pPr>
        <w:pStyle w:val="BodyText"/>
        <w:ind w:left="5872"/>
      </w:pPr>
      <w:r>
        <w:t>(347) 524-6544</w:t>
      </w:r>
      <w:r>
        <w:rPr>
          <w:spacing w:val="-17"/>
        </w:rPr>
        <w:t xml:space="preserve"> </w:t>
      </w:r>
      <w:hyperlink r:id="rId5">
        <w:r>
          <w:t>bronwynroantree@gmail.com</w:t>
        </w:r>
      </w:hyperlink>
    </w:p>
    <w:p w14:paraId="765F9543" w14:textId="77777777" w:rsidR="000F048A" w:rsidRDefault="000F048A">
      <w:pPr>
        <w:pStyle w:val="BodyText"/>
        <w:rPr>
          <w:sz w:val="24"/>
        </w:rPr>
      </w:pPr>
    </w:p>
    <w:p w14:paraId="4BEE1E0E" w14:textId="77777777" w:rsidR="000F048A" w:rsidRDefault="00007689">
      <w:pPr>
        <w:pStyle w:val="Heading1"/>
        <w:rPr>
          <w:u w:val="none"/>
        </w:rPr>
      </w:pPr>
      <w:r>
        <w:t>EDUCATION</w:t>
      </w:r>
    </w:p>
    <w:p w14:paraId="0903DC86" w14:textId="77777777" w:rsidR="000F048A" w:rsidRDefault="000F048A">
      <w:pPr>
        <w:pStyle w:val="BodyText"/>
        <w:spacing w:before="1"/>
        <w:rPr>
          <w:b/>
          <w:sz w:val="15"/>
        </w:rPr>
      </w:pPr>
    </w:p>
    <w:p w14:paraId="742FC78F" w14:textId="77777777" w:rsidR="000F048A" w:rsidRDefault="00007689">
      <w:pPr>
        <w:spacing w:before="101"/>
        <w:ind w:left="112" w:right="5351"/>
      </w:pPr>
      <w:r>
        <w:rPr>
          <w:b/>
        </w:rPr>
        <w:t>Fordham University School of Law</w:t>
      </w:r>
      <w:r>
        <w:t>, New York, NY J.D., May 2018</w:t>
      </w:r>
      <w:r>
        <w:rPr>
          <w:i/>
        </w:rPr>
        <w:t>, magna cum laude</w:t>
      </w:r>
      <w:r>
        <w:t>, Order of the Coif</w:t>
      </w:r>
    </w:p>
    <w:p w14:paraId="6807B2B5" w14:textId="77777777" w:rsidR="000F048A" w:rsidRPr="0061637B" w:rsidRDefault="00007689">
      <w:pPr>
        <w:pStyle w:val="BodyText"/>
        <w:ind w:left="111" w:right="236" w:hanging="1"/>
      </w:pPr>
      <w:r>
        <w:rPr>
          <w:b/>
        </w:rPr>
        <w:t>Honors</w:t>
      </w:r>
      <w:r>
        <w:t xml:space="preserve">: </w:t>
      </w:r>
      <w:bookmarkStart w:id="0" w:name="_Hlk21091176"/>
      <w:r>
        <w:t>Stein Scholar for the Public Interest</w:t>
      </w:r>
      <w:r w:rsidR="0061637B">
        <w:t xml:space="preserve"> •</w:t>
      </w:r>
      <w:r>
        <w:t xml:space="preserve"> CLEA Outstanding Clinical Student Award</w:t>
      </w:r>
      <w:r w:rsidR="0061637B">
        <w:t xml:space="preserve"> • </w:t>
      </w:r>
      <w:r>
        <w:rPr>
          <w:i/>
        </w:rPr>
        <w:t xml:space="preserve">Fordham Law Review </w:t>
      </w:r>
      <w:r>
        <w:t>Executive Articles Editor</w:t>
      </w:r>
      <w:r w:rsidR="0061637B">
        <w:t xml:space="preserve"> • </w:t>
      </w:r>
      <w:proofErr w:type="spellStart"/>
      <w:r>
        <w:t>Parchomovsky</w:t>
      </w:r>
      <w:proofErr w:type="spellEnd"/>
      <w:r>
        <w:t xml:space="preserve"> – Siegelman Student Graduation Prize recipient for best work of scholarship in a Fordham Law School journal</w:t>
      </w:r>
      <w:r w:rsidR="0061637B">
        <w:t xml:space="preserve"> • Finalist and Best Brief Award in Mulligan Moot Court Competition • J</w:t>
      </w:r>
      <w:r>
        <w:t>essup International Law Moot Court competitor and recipient of 6</w:t>
      </w:r>
      <w:proofErr w:type="spellStart"/>
      <w:r>
        <w:rPr>
          <w:position w:val="5"/>
          <w:sz w:val="14"/>
        </w:rPr>
        <w:t>th</w:t>
      </w:r>
      <w:proofErr w:type="spellEnd"/>
      <w:r>
        <w:rPr>
          <w:position w:val="5"/>
          <w:sz w:val="14"/>
        </w:rPr>
        <w:t xml:space="preserve"> </w:t>
      </w:r>
      <w:r>
        <w:t>Place Oralist Award</w:t>
      </w:r>
      <w:r w:rsidR="0061637B">
        <w:t xml:space="preserve"> •  </w:t>
      </w:r>
      <w:r>
        <w:t>Kaufman Securities Competition bench team member</w:t>
      </w:r>
      <w:r w:rsidR="0061637B">
        <w:t xml:space="preserve"> • </w:t>
      </w:r>
      <w:r>
        <w:t xml:space="preserve">Francis J. </w:t>
      </w:r>
      <w:proofErr w:type="spellStart"/>
      <w:r>
        <w:t>Mulderig</w:t>
      </w:r>
      <w:proofErr w:type="spellEnd"/>
      <w:r>
        <w:t xml:space="preserve"> National Scholars Full Tuition Scholarship</w:t>
      </w:r>
      <w:r w:rsidR="0061637B">
        <w:t xml:space="preserve">  • Archibald R. Murray Public Service Award, </w:t>
      </w:r>
      <w:r w:rsidR="0061637B">
        <w:rPr>
          <w:i/>
        </w:rPr>
        <w:t>summa cum laude</w:t>
      </w:r>
      <w:r w:rsidR="0061637B">
        <w:t>, for over 1,000 hours of pro bono work during law school</w:t>
      </w:r>
      <w:bookmarkEnd w:id="0"/>
    </w:p>
    <w:p w14:paraId="0A5FAA0A" w14:textId="77777777" w:rsidR="000F048A" w:rsidRDefault="00007689">
      <w:pPr>
        <w:pStyle w:val="BodyText"/>
        <w:ind w:left="111" w:right="261"/>
      </w:pPr>
      <w:r>
        <w:rPr>
          <w:b/>
        </w:rPr>
        <w:t>Activities</w:t>
      </w:r>
      <w:r>
        <w:t xml:space="preserve">: </w:t>
      </w:r>
      <w:bookmarkStart w:id="1" w:name="_Hlk21092104"/>
      <w:r>
        <w:t>President - International Refugee Assistance Project 2016-2018</w:t>
      </w:r>
      <w:r w:rsidR="0061637B">
        <w:t xml:space="preserve"> • </w:t>
      </w:r>
      <w:r>
        <w:t>Research Assistant for Center for National Security at Fordham Law</w:t>
      </w:r>
      <w:r w:rsidR="0061637B" w:rsidRPr="0061637B">
        <w:t xml:space="preserve"> </w:t>
      </w:r>
      <w:r w:rsidR="0061637B">
        <w:t>• Stein Scholars for the Public Interest Council 2015-2017 • Student Advisory Board for Institute on Religion, Law, and Lawyer’s Work</w:t>
      </w:r>
      <w:bookmarkEnd w:id="1"/>
    </w:p>
    <w:p w14:paraId="130B04C6" w14:textId="77777777" w:rsidR="000F048A" w:rsidRDefault="000F048A">
      <w:pPr>
        <w:pStyle w:val="BodyText"/>
        <w:spacing w:before="10"/>
        <w:rPr>
          <w:sz w:val="21"/>
        </w:rPr>
      </w:pPr>
    </w:p>
    <w:p w14:paraId="28C2C9D1" w14:textId="77777777" w:rsidR="000F048A" w:rsidRDefault="00007689">
      <w:pPr>
        <w:ind w:left="112" w:right="3167"/>
      </w:pPr>
      <w:r>
        <w:rPr>
          <w:b/>
        </w:rPr>
        <w:t>Harvard University, Graduate School of Arts and Sciences</w:t>
      </w:r>
      <w:r>
        <w:t>, Cambridge, MA PhD, June 2011</w:t>
      </w:r>
    </w:p>
    <w:p w14:paraId="53C51F02" w14:textId="77777777" w:rsidR="000F048A" w:rsidRDefault="00007689">
      <w:pPr>
        <w:pStyle w:val="BodyText"/>
        <w:spacing w:line="242" w:lineRule="auto"/>
        <w:ind w:left="112" w:right="261"/>
      </w:pPr>
      <w:r>
        <w:rPr>
          <w:b/>
        </w:rPr>
        <w:t>Dissertation</w:t>
      </w:r>
      <w:r>
        <w:t>: “Limitations on the Right to Manifestation of Religion Under the European Convention on Human Rights: Constructions of the Public Sphere”</w:t>
      </w:r>
    </w:p>
    <w:p w14:paraId="4C435F86" w14:textId="77777777" w:rsidR="000F048A" w:rsidRDefault="00007689">
      <w:pPr>
        <w:pStyle w:val="BodyText"/>
        <w:ind w:left="111" w:right="119"/>
        <w:jc w:val="both"/>
      </w:pPr>
      <w:r>
        <w:rPr>
          <w:b/>
        </w:rPr>
        <w:t xml:space="preserve">Honors: </w:t>
      </w:r>
      <w:r>
        <w:t>Harvard University Dissertation Completion Fellowship (2010); Harvard University Bok Center Award for Excellence in Teaching (2010; 2012); Foreign Languages and Area Studies (FLAS) Grant for Arabic Language Study (2006)</w:t>
      </w:r>
    </w:p>
    <w:p w14:paraId="4FB482AD" w14:textId="77777777" w:rsidR="000F048A" w:rsidRDefault="00007689">
      <w:pPr>
        <w:spacing w:before="175"/>
        <w:ind w:left="112" w:right="5635" w:hanging="1"/>
      </w:pPr>
      <w:r>
        <w:rPr>
          <w:b/>
        </w:rPr>
        <w:t>Harvard Divinity School</w:t>
      </w:r>
      <w:r>
        <w:t xml:space="preserve">, Cambridge MA </w:t>
      </w:r>
      <w:proofErr w:type="gramStart"/>
      <w:r>
        <w:t>Masters of Theological Studies</w:t>
      </w:r>
      <w:proofErr w:type="gramEnd"/>
      <w:r>
        <w:t xml:space="preserve"> in Ethics, June</w:t>
      </w:r>
      <w:r>
        <w:rPr>
          <w:spacing w:val="-14"/>
        </w:rPr>
        <w:t xml:space="preserve"> </w:t>
      </w:r>
      <w:r>
        <w:t>2004</w:t>
      </w:r>
    </w:p>
    <w:p w14:paraId="5B060F5F" w14:textId="77777777" w:rsidR="000F048A" w:rsidRDefault="00007689">
      <w:pPr>
        <w:spacing w:before="180"/>
        <w:ind w:left="112" w:right="4876"/>
      </w:pPr>
      <w:r>
        <w:rPr>
          <w:b/>
        </w:rPr>
        <w:t>Columbia University, Columbia College</w:t>
      </w:r>
      <w:r>
        <w:t xml:space="preserve">, New York, NY BA in Philosophy, </w:t>
      </w:r>
      <w:r>
        <w:rPr>
          <w:i/>
        </w:rPr>
        <w:t>cum laude</w:t>
      </w:r>
      <w:r>
        <w:t>, Honor’s Thesis, June 2002</w:t>
      </w:r>
    </w:p>
    <w:p w14:paraId="12889844" w14:textId="77777777" w:rsidR="000F048A" w:rsidRDefault="00007689">
      <w:pPr>
        <w:pStyle w:val="Heading1"/>
        <w:spacing w:before="181"/>
        <w:rPr>
          <w:u w:val="none"/>
        </w:rPr>
      </w:pPr>
      <w:r>
        <w:t>EXPERIENCE</w:t>
      </w:r>
    </w:p>
    <w:p w14:paraId="1D4619A2" w14:textId="77777777" w:rsidR="000F048A" w:rsidRDefault="000F048A">
      <w:pPr>
        <w:pStyle w:val="BodyText"/>
        <w:spacing w:before="10"/>
        <w:rPr>
          <w:b/>
          <w:sz w:val="21"/>
        </w:rPr>
      </w:pPr>
    </w:p>
    <w:p w14:paraId="68533B36" w14:textId="1AEF7397" w:rsidR="00951C01" w:rsidRDefault="00951C01">
      <w:pPr>
        <w:tabs>
          <w:tab w:val="left" w:pos="8032"/>
        </w:tabs>
        <w:ind w:left="112" w:right="202"/>
        <w:rPr>
          <w:bCs/>
        </w:rPr>
      </w:pPr>
      <w:r>
        <w:rPr>
          <w:b/>
        </w:rPr>
        <w:t>Morvillo Abramowitz Grand Iason &amp; Anello P.C.</w:t>
      </w:r>
      <w:r>
        <w:rPr>
          <w:bCs/>
        </w:rPr>
        <w:t>, New York, NY</w:t>
      </w:r>
      <w:r>
        <w:rPr>
          <w:bCs/>
        </w:rPr>
        <w:tab/>
      </w:r>
      <w:r w:rsidR="000541D3">
        <w:rPr>
          <w:bCs/>
        </w:rPr>
        <w:t xml:space="preserve">March </w:t>
      </w:r>
      <w:r>
        <w:rPr>
          <w:bCs/>
        </w:rPr>
        <w:t>2021-Present</w:t>
      </w:r>
    </w:p>
    <w:p w14:paraId="7A263618" w14:textId="27CBC499" w:rsidR="00951C01" w:rsidRPr="000541D3" w:rsidRDefault="00951C01">
      <w:pPr>
        <w:tabs>
          <w:tab w:val="left" w:pos="8032"/>
        </w:tabs>
        <w:ind w:left="112" w:right="202"/>
        <w:rPr>
          <w:bCs/>
        </w:rPr>
      </w:pPr>
      <w:r>
        <w:rPr>
          <w:bCs/>
          <w:u w:val="single"/>
        </w:rPr>
        <w:t>Associate</w:t>
      </w:r>
      <w:r>
        <w:rPr>
          <w:bCs/>
        </w:rPr>
        <w:t xml:space="preserve">: Draft briefs and legal memoranda on a range of topics, focusing on White Collar criminal defense; maintain an active pro bono practice, including performing research and drafting memoranda for a case that recently went to the Supreme Court involving child abduction under the Hague Convention; drafting an amicus brief </w:t>
      </w:r>
      <w:r w:rsidR="000541D3">
        <w:rPr>
          <w:bCs/>
        </w:rPr>
        <w:t xml:space="preserve">for the Supreme Court in </w:t>
      </w:r>
      <w:r w:rsidR="000541D3">
        <w:rPr>
          <w:bCs/>
          <w:i/>
          <w:iCs/>
        </w:rPr>
        <w:t>Dobbs v. Jackson Women’s Health</w:t>
      </w:r>
      <w:r w:rsidR="000541D3">
        <w:rPr>
          <w:bCs/>
        </w:rPr>
        <w:t>, and assisting clients facing housing insecurity.</w:t>
      </w:r>
    </w:p>
    <w:p w14:paraId="6F84CD5F" w14:textId="77777777" w:rsidR="00951C01" w:rsidRDefault="00951C01">
      <w:pPr>
        <w:tabs>
          <w:tab w:val="left" w:pos="8032"/>
        </w:tabs>
        <w:ind w:left="112" w:right="202"/>
        <w:rPr>
          <w:b/>
        </w:rPr>
      </w:pPr>
    </w:p>
    <w:p w14:paraId="255226C8" w14:textId="72C8C5B2" w:rsidR="00007689" w:rsidRDefault="00007689">
      <w:pPr>
        <w:tabs>
          <w:tab w:val="left" w:pos="8032"/>
        </w:tabs>
        <w:ind w:left="112" w:right="202"/>
      </w:pPr>
      <w:r>
        <w:rPr>
          <w:b/>
        </w:rPr>
        <w:t>The Honorable Denny Chin, Second Circuit Court of Appeals</w:t>
      </w:r>
      <w:r>
        <w:t>, New</w:t>
      </w:r>
      <w:r>
        <w:rPr>
          <w:spacing w:val="-23"/>
        </w:rPr>
        <w:t xml:space="preserve"> </w:t>
      </w:r>
      <w:r>
        <w:t>York,</w:t>
      </w:r>
      <w:r>
        <w:rPr>
          <w:spacing w:val="-2"/>
        </w:rPr>
        <w:t xml:space="preserve"> </w:t>
      </w:r>
      <w:r>
        <w:t>NY</w:t>
      </w:r>
      <w:r>
        <w:tab/>
        <w:t>2019-</w:t>
      </w:r>
      <w:r w:rsidR="000541D3">
        <w:t xml:space="preserve">Sept. </w:t>
      </w:r>
      <w:r w:rsidR="00951C01">
        <w:t>2020</w:t>
      </w:r>
    </w:p>
    <w:p w14:paraId="5BA692B5" w14:textId="77777777" w:rsidR="000F048A" w:rsidRPr="00007689" w:rsidRDefault="00007689">
      <w:pPr>
        <w:tabs>
          <w:tab w:val="left" w:pos="8032"/>
        </w:tabs>
        <w:ind w:left="112" w:right="202"/>
      </w:pPr>
      <w:r>
        <w:rPr>
          <w:u w:val="single"/>
        </w:rPr>
        <w:t>Law</w:t>
      </w:r>
      <w:r>
        <w:rPr>
          <w:spacing w:val="-2"/>
          <w:u w:val="single"/>
        </w:rPr>
        <w:t xml:space="preserve"> </w:t>
      </w:r>
      <w:r>
        <w:rPr>
          <w:u w:val="single"/>
        </w:rPr>
        <w:t>Clerk</w:t>
      </w:r>
      <w:r>
        <w:t>: Prepare bench memos on a range of criminal and civil topics; assist the judge in preparing for oral arguments and in drafting opinions and summary orders</w:t>
      </w:r>
      <w:r w:rsidR="00A00BF8">
        <w:t xml:space="preserve">; assist the judge in managing RISE court (Re-entry through Intensive Supervision and Employment) </w:t>
      </w:r>
    </w:p>
    <w:p w14:paraId="2057119B" w14:textId="77777777" w:rsidR="000F048A" w:rsidRDefault="000F048A">
      <w:pPr>
        <w:pStyle w:val="BodyText"/>
        <w:spacing w:before="1"/>
        <w:rPr>
          <w:sz w:val="15"/>
        </w:rPr>
      </w:pPr>
    </w:p>
    <w:p w14:paraId="474B37B5" w14:textId="77777777" w:rsidR="000F048A" w:rsidRDefault="00007689">
      <w:pPr>
        <w:tabs>
          <w:tab w:val="right" w:pos="8927"/>
        </w:tabs>
        <w:spacing w:before="101" w:line="247" w:lineRule="exact"/>
        <w:ind w:left="112"/>
      </w:pPr>
      <w:r>
        <w:rPr>
          <w:b/>
        </w:rPr>
        <w:t>The Honorable James Orenstein, Eastern District of New York</w:t>
      </w:r>
      <w:r>
        <w:t>,</w:t>
      </w:r>
      <w:r>
        <w:rPr>
          <w:spacing w:val="-17"/>
        </w:rPr>
        <w:t xml:space="preserve"> </w:t>
      </w:r>
      <w:r>
        <w:t>Brooklyn,</w:t>
      </w:r>
      <w:r>
        <w:rPr>
          <w:spacing w:val="-2"/>
        </w:rPr>
        <w:t xml:space="preserve"> </w:t>
      </w:r>
      <w:r>
        <w:t>NY</w:t>
      </w:r>
      <w:r>
        <w:tab/>
        <w:t>2018-2019</w:t>
      </w:r>
    </w:p>
    <w:p w14:paraId="2BA4F0C6" w14:textId="77777777" w:rsidR="000F048A" w:rsidRDefault="00007689">
      <w:pPr>
        <w:pStyle w:val="BodyText"/>
        <w:ind w:left="112" w:right="599"/>
      </w:pPr>
      <w:r>
        <w:rPr>
          <w:u w:val="single"/>
        </w:rPr>
        <w:t>Law Clerk</w:t>
      </w:r>
      <w:r>
        <w:t>: Managed the judge’s docket, which consists of over 300 cases; reviewed civil motions and prepared memoranda and recommendations in advance of conferences; assisted judge with drafting reports and recommendations.</w:t>
      </w:r>
    </w:p>
    <w:p w14:paraId="71B5A37C" w14:textId="77777777" w:rsidR="000F048A" w:rsidRDefault="000F048A">
      <w:pPr>
        <w:pStyle w:val="BodyText"/>
        <w:spacing w:before="10"/>
        <w:rPr>
          <w:sz w:val="21"/>
        </w:rPr>
      </w:pPr>
    </w:p>
    <w:p w14:paraId="604DB7CB" w14:textId="77777777" w:rsidR="000F048A" w:rsidRDefault="00007689">
      <w:pPr>
        <w:tabs>
          <w:tab w:val="left" w:pos="8031"/>
        </w:tabs>
        <w:ind w:left="111" w:right="402"/>
      </w:pPr>
      <w:r>
        <w:rPr>
          <w:b/>
        </w:rPr>
        <w:t>Federal Litigation Clinic, Fordham University School of Law</w:t>
      </w:r>
      <w:r>
        <w:t>, New</w:t>
      </w:r>
      <w:r>
        <w:rPr>
          <w:spacing w:val="-22"/>
        </w:rPr>
        <w:t xml:space="preserve"> </w:t>
      </w:r>
      <w:r>
        <w:t>York,</w:t>
      </w:r>
      <w:r>
        <w:rPr>
          <w:spacing w:val="-3"/>
        </w:rPr>
        <w:t xml:space="preserve"> </w:t>
      </w:r>
      <w:r>
        <w:t>NY</w:t>
      </w:r>
      <w:r>
        <w:tab/>
        <w:t xml:space="preserve">Feb. 2018-July 2018 </w:t>
      </w:r>
      <w:r>
        <w:rPr>
          <w:u w:val="single"/>
        </w:rPr>
        <w:t>Pro Bono Scholar</w:t>
      </w:r>
      <w:r>
        <w:t xml:space="preserve">: Wrote an </w:t>
      </w:r>
      <w:r>
        <w:rPr>
          <w:i/>
        </w:rPr>
        <w:t xml:space="preserve">amicus </w:t>
      </w:r>
      <w:r>
        <w:t xml:space="preserve">brief for the Supreme Court in </w:t>
      </w:r>
      <w:r>
        <w:rPr>
          <w:i/>
        </w:rPr>
        <w:t xml:space="preserve">Weyerhaeuser Co. v. United States Fish and Wildlife Service; </w:t>
      </w:r>
      <w:r>
        <w:t>assisted in drafting a criminal appeal for the Second Circuit; worked on civil and criminal cases for clients before the</w:t>
      </w:r>
      <w:r>
        <w:rPr>
          <w:spacing w:val="-2"/>
        </w:rPr>
        <w:t xml:space="preserve"> </w:t>
      </w:r>
      <w:r>
        <w:t>SDNY</w:t>
      </w:r>
    </w:p>
    <w:p w14:paraId="2090C861" w14:textId="77777777" w:rsidR="000F048A" w:rsidRDefault="000F048A">
      <w:pPr>
        <w:pStyle w:val="BodyText"/>
        <w:spacing w:before="1"/>
      </w:pPr>
    </w:p>
    <w:p w14:paraId="6D63FEB6" w14:textId="77777777" w:rsidR="000F048A" w:rsidRDefault="00007689">
      <w:pPr>
        <w:tabs>
          <w:tab w:val="left" w:pos="8031"/>
        </w:tabs>
        <w:ind w:left="112" w:right="354"/>
      </w:pPr>
      <w:r>
        <w:rPr>
          <w:b/>
        </w:rPr>
        <w:t>International Refugee Assistance Project, Fordham Law</w:t>
      </w:r>
      <w:r>
        <w:rPr>
          <w:b/>
          <w:spacing w:val="-24"/>
        </w:rPr>
        <w:t xml:space="preserve"> </w:t>
      </w:r>
      <w:r>
        <w:rPr>
          <w:b/>
        </w:rPr>
        <w:t>School</w:t>
      </w:r>
      <w:r>
        <w:rPr>
          <w:b/>
          <w:spacing w:val="-2"/>
        </w:rPr>
        <w:t xml:space="preserve"> </w:t>
      </w:r>
      <w:r>
        <w:rPr>
          <w:b/>
        </w:rPr>
        <w:t>Chapter</w:t>
      </w:r>
      <w:r>
        <w:rPr>
          <w:b/>
        </w:rPr>
        <w:tab/>
      </w:r>
      <w:r>
        <w:t xml:space="preserve">Sept. 2015-July 2018 </w:t>
      </w:r>
      <w:r>
        <w:rPr>
          <w:u w:val="single"/>
        </w:rPr>
        <w:t>President (2016-2018), Member</w:t>
      </w:r>
      <w:r>
        <w:rPr>
          <w:spacing w:val="-3"/>
          <w:u w:val="single"/>
        </w:rPr>
        <w:t xml:space="preserve"> </w:t>
      </w:r>
      <w:r>
        <w:rPr>
          <w:u w:val="single"/>
        </w:rPr>
        <w:t>(2015-2016)</w:t>
      </w:r>
    </w:p>
    <w:p w14:paraId="302F8547" w14:textId="77777777" w:rsidR="000F048A" w:rsidRDefault="00007689">
      <w:pPr>
        <w:pStyle w:val="BodyText"/>
        <w:ind w:left="111" w:right="153"/>
      </w:pPr>
      <w:r>
        <w:t xml:space="preserve">Worked with attorneys at a major U.S. firm to secure resettlement in the United States for a transgender woman </w:t>
      </w:r>
      <w:r>
        <w:lastRenderedPageBreak/>
        <w:t>suffering persecution in Jordan; assisted her with securing housing, education, and other services once in the U.S.; served as President of the Fordham chapter of IRAP for two years, coordinating all student teams' efforts on behalf of refugees in the Middle East with IRAP National and volunteer attorneys.</w:t>
      </w:r>
    </w:p>
    <w:p w14:paraId="2A18C3B2" w14:textId="77777777" w:rsidR="003D100D" w:rsidRDefault="003D100D">
      <w:pPr>
        <w:pStyle w:val="BodyText"/>
        <w:ind w:left="111" w:right="153"/>
      </w:pPr>
    </w:p>
    <w:p w14:paraId="1018172A" w14:textId="77777777" w:rsidR="000F048A" w:rsidRDefault="00007689" w:rsidP="003D100D">
      <w:pPr>
        <w:keepNext/>
        <w:widowControl/>
        <w:tabs>
          <w:tab w:val="left" w:pos="8032"/>
        </w:tabs>
        <w:ind w:left="112" w:right="471"/>
      </w:pPr>
      <w:r>
        <w:rPr>
          <w:b/>
        </w:rPr>
        <w:t>Legal Aid Society: Prisoners’ Rights Project</w:t>
      </w:r>
      <w:r>
        <w:t>, New</w:t>
      </w:r>
      <w:r>
        <w:rPr>
          <w:spacing w:val="-15"/>
        </w:rPr>
        <w:t xml:space="preserve"> </w:t>
      </w:r>
      <w:r>
        <w:t>York,</w:t>
      </w:r>
      <w:r>
        <w:rPr>
          <w:spacing w:val="-2"/>
        </w:rPr>
        <w:t xml:space="preserve"> </w:t>
      </w:r>
      <w:r>
        <w:t>NY</w:t>
      </w:r>
      <w:r>
        <w:tab/>
        <w:t xml:space="preserve">Summer 2017 </w:t>
      </w:r>
      <w:r>
        <w:rPr>
          <w:u w:val="single"/>
        </w:rPr>
        <w:t>Legal Intern</w:t>
      </w:r>
      <w:r>
        <w:t>: Coordinated investigation into brutality in state prisons; conducted interviews with inmates in</w:t>
      </w:r>
      <w:r>
        <w:rPr>
          <w:spacing w:val="-37"/>
        </w:rPr>
        <w:t xml:space="preserve"> </w:t>
      </w:r>
      <w:r>
        <w:t>state</w:t>
      </w:r>
      <w:r w:rsidR="003D100D">
        <w:t xml:space="preserve"> </w:t>
      </w:r>
      <w:r>
        <w:t>prisons regarding prison conditions; advocated for persons incarcerated in state prisons on a range of issue</w:t>
      </w:r>
      <w:r w:rsidR="002F0158">
        <w:t>s</w:t>
      </w:r>
      <w:r>
        <w:t xml:space="preserve"> including access to medical care, accommodations for disabilities, and access to mail and reading</w:t>
      </w:r>
      <w:r>
        <w:rPr>
          <w:spacing w:val="-29"/>
        </w:rPr>
        <w:t xml:space="preserve"> </w:t>
      </w:r>
      <w:r>
        <w:t>materials</w:t>
      </w:r>
    </w:p>
    <w:p w14:paraId="073D5B16" w14:textId="77777777" w:rsidR="000F048A" w:rsidRDefault="000F048A">
      <w:pPr>
        <w:pStyle w:val="BodyText"/>
        <w:spacing w:before="10"/>
        <w:rPr>
          <w:sz w:val="21"/>
        </w:rPr>
      </w:pPr>
    </w:p>
    <w:p w14:paraId="57DC10A4" w14:textId="77777777" w:rsidR="000F048A" w:rsidRDefault="00007689">
      <w:pPr>
        <w:tabs>
          <w:tab w:val="left" w:pos="8032"/>
        </w:tabs>
        <w:ind w:left="112"/>
      </w:pPr>
      <w:r>
        <w:rPr>
          <w:b/>
        </w:rPr>
        <w:t>ACLU-NJ,</w:t>
      </w:r>
      <w:r>
        <w:rPr>
          <w:b/>
          <w:spacing w:val="-2"/>
        </w:rPr>
        <w:t xml:space="preserve"> </w:t>
      </w:r>
      <w:r>
        <w:t>Newark,</w:t>
      </w:r>
      <w:r>
        <w:rPr>
          <w:spacing w:val="-2"/>
        </w:rPr>
        <w:t xml:space="preserve"> </w:t>
      </w:r>
      <w:r>
        <w:t>NJ</w:t>
      </w:r>
      <w:r>
        <w:tab/>
        <w:t>Spring</w:t>
      </w:r>
      <w:r>
        <w:rPr>
          <w:spacing w:val="-2"/>
        </w:rPr>
        <w:t xml:space="preserve"> </w:t>
      </w:r>
      <w:r>
        <w:t>2017</w:t>
      </w:r>
    </w:p>
    <w:p w14:paraId="30773F84" w14:textId="77777777" w:rsidR="000F048A" w:rsidRDefault="00007689">
      <w:pPr>
        <w:pStyle w:val="BodyText"/>
        <w:spacing w:before="2"/>
        <w:ind w:left="111" w:right="225"/>
      </w:pPr>
      <w:r>
        <w:rPr>
          <w:u w:val="single"/>
        </w:rPr>
        <w:t>Legal Extern</w:t>
      </w:r>
      <w:r>
        <w:t>: Researched a range of topics for the staff attorneys, including strategies for drafting successful FOIA requests, access to government benefits, and discipline in public schools; assisted with trial preparation on case involving the placement of mentally ill and developmentally delayed persons in solitary confinement in prison.</w:t>
      </w:r>
    </w:p>
    <w:p w14:paraId="69CC7FEB" w14:textId="77777777" w:rsidR="000F048A" w:rsidRDefault="000F048A">
      <w:pPr>
        <w:pStyle w:val="BodyText"/>
        <w:spacing w:before="10"/>
        <w:rPr>
          <w:sz w:val="21"/>
        </w:rPr>
      </w:pPr>
    </w:p>
    <w:p w14:paraId="655459D2" w14:textId="77777777" w:rsidR="000F048A" w:rsidRDefault="00007689">
      <w:pPr>
        <w:pStyle w:val="BodyText"/>
        <w:tabs>
          <w:tab w:val="left" w:pos="8031"/>
        </w:tabs>
        <w:ind w:left="112" w:right="443"/>
      </w:pPr>
      <w:r>
        <w:rPr>
          <w:b/>
        </w:rPr>
        <w:t>ACLU, Program on the Freedom of Religion &amp; Belief</w:t>
      </w:r>
      <w:r>
        <w:t>,</w:t>
      </w:r>
      <w:r>
        <w:rPr>
          <w:spacing w:val="-20"/>
        </w:rPr>
        <w:t xml:space="preserve"> </w:t>
      </w:r>
      <w:r>
        <w:t>Washington,</w:t>
      </w:r>
      <w:r>
        <w:rPr>
          <w:spacing w:val="-3"/>
        </w:rPr>
        <w:t xml:space="preserve"> </w:t>
      </w:r>
      <w:r>
        <w:t>DC</w:t>
      </w:r>
      <w:r>
        <w:tab/>
        <w:t xml:space="preserve">Summer 2016 </w:t>
      </w:r>
      <w:r>
        <w:rPr>
          <w:u w:val="single"/>
        </w:rPr>
        <w:t>Legal Intern</w:t>
      </w:r>
      <w:r>
        <w:t>: Conducted legal research on a range of issues relating to First Amendment Free Exercise and Establishment claims; drafted legal memoranda on issues including the designation of prevailing party for § 1988 purposes; assisted with coordinating amicus briefs for a case recently granted cert by the Supreme</w:t>
      </w:r>
      <w:r>
        <w:rPr>
          <w:spacing w:val="-24"/>
        </w:rPr>
        <w:t xml:space="preserve"> </w:t>
      </w:r>
      <w:r>
        <w:t>Court.</w:t>
      </w:r>
    </w:p>
    <w:p w14:paraId="7006CC5D" w14:textId="77777777" w:rsidR="000F048A" w:rsidRDefault="00007689">
      <w:pPr>
        <w:tabs>
          <w:tab w:val="right" w:pos="8927"/>
        </w:tabs>
        <w:spacing w:before="181" w:line="247" w:lineRule="exact"/>
        <w:ind w:left="112"/>
      </w:pPr>
      <w:r>
        <w:rPr>
          <w:b/>
        </w:rPr>
        <w:t>Harvard University, Committee on the Study of Religion,</w:t>
      </w:r>
      <w:r>
        <w:rPr>
          <w:b/>
          <w:spacing w:val="-12"/>
        </w:rPr>
        <w:t xml:space="preserve"> </w:t>
      </w:r>
      <w:r>
        <w:t>Cambridge</w:t>
      </w:r>
      <w:r>
        <w:rPr>
          <w:spacing w:val="-3"/>
        </w:rPr>
        <w:t xml:space="preserve"> </w:t>
      </w:r>
      <w:r>
        <w:t>MA</w:t>
      </w:r>
      <w:r>
        <w:tab/>
        <w:t>2011-2014</w:t>
      </w:r>
    </w:p>
    <w:p w14:paraId="4FDB0E62" w14:textId="77777777" w:rsidR="000F048A" w:rsidRDefault="00007689">
      <w:pPr>
        <w:pStyle w:val="BodyText"/>
        <w:ind w:left="111" w:right="214"/>
      </w:pPr>
      <w:r>
        <w:rPr>
          <w:u w:val="single"/>
        </w:rPr>
        <w:t>Harvard College Fellow</w:t>
      </w:r>
      <w:r w:rsidR="00A33793">
        <w:rPr>
          <w:u w:val="single"/>
        </w:rPr>
        <w:t>/</w:t>
      </w:r>
      <w:r w:rsidR="004462B4">
        <w:rPr>
          <w:u w:val="single"/>
        </w:rPr>
        <w:t>Lecturer</w:t>
      </w:r>
      <w:r>
        <w:t>: Researched, wrote and taught on topics at the intersection of religion and law; created and taught several courses for Harvard College, including “Religion, Law and American Politics” and “Religion and International Politics,” and "Religion, Self, and Society"</w:t>
      </w:r>
    </w:p>
    <w:p w14:paraId="21C3B685" w14:textId="77777777" w:rsidR="000F048A" w:rsidRDefault="00007689">
      <w:pPr>
        <w:pStyle w:val="BodyText"/>
        <w:tabs>
          <w:tab w:val="left" w:pos="8032"/>
        </w:tabs>
        <w:spacing w:before="179"/>
        <w:ind w:left="112" w:right="127"/>
      </w:pPr>
      <w:r>
        <w:rPr>
          <w:b/>
        </w:rPr>
        <w:t xml:space="preserve">New York City Council, </w:t>
      </w:r>
      <w:r>
        <w:t>New</w:t>
      </w:r>
      <w:r>
        <w:rPr>
          <w:spacing w:val="-8"/>
        </w:rPr>
        <w:t xml:space="preserve"> </w:t>
      </w:r>
      <w:r>
        <w:t>York,</w:t>
      </w:r>
      <w:r>
        <w:rPr>
          <w:spacing w:val="-2"/>
        </w:rPr>
        <w:t xml:space="preserve"> </w:t>
      </w:r>
      <w:r>
        <w:t>NY</w:t>
      </w:r>
      <w:r>
        <w:tab/>
        <w:t xml:space="preserve">Sept. 2004-March 2005 </w:t>
      </w:r>
      <w:r>
        <w:rPr>
          <w:u w:val="single"/>
        </w:rPr>
        <w:t>Constituent Liaison</w:t>
      </w:r>
      <w:r>
        <w:t>: Advocated for and counseled constituents on a wide range of issues including housing, education, and public health and wellness; drafted and edited press releases, newsletters, and other constituent communications.</w:t>
      </w:r>
    </w:p>
    <w:p w14:paraId="6C3DDBE3" w14:textId="77777777" w:rsidR="000F048A" w:rsidRDefault="00007689">
      <w:pPr>
        <w:pStyle w:val="Heading2"/>
        <w:spacing w:before="182"/>
        <w:rPr>
          <w:u w:val="none"/>
        </w:rPr>
      </w:pPr>
      <w:r>
        <w:t>VOLUNTEER EXPERIENCE</w:t>
      </w:r>
    </w:p>
    <w:p w14:paraId="1C298FEC" w14:textId="77777777" w:rsidR="000F048A" w:rsidRDefault="000F048A">
      <w:pPr>
        <w:pStyle w:val="BodyText"/>
        <w:spacing w:before="10"/>
        <w:rPr>
          <w:b/>
          <w:sz w:val="21"/>
        </w:rPr>
      </w:pPr>
    </w:p>
    <w:p w14:paraId="01831F57" w14:textId="77777777" w:rsidR="000F048A" w:rsidRDefault="00007689">
      <w:pPr>
        <w:pStyle w:val="BodyText"/>
        <w:ind w:left="111" w:right="183"/>
      </w:pPr>
      <w:r>
        <w:t xml:space="preserve">Stein Scholars for the Public Interest Alumni Advisory Council (present), Chair of the Law, Religion, and Culture Group at the American Academy of Religion (2013-2016), English as a Second Language Volunteer Teacher (2010- 2011), Scholars </w:t>
      </w:r>
      <w:proofErr w:type="gramStart"/>
      <w:r>
        <w:t>At</w:t>
      </w:r>
      <w:proofErr w:type="gramEnd"/>
      <w:r>
        <w:t xml:space="preserve"> Risk volunteer editor (2004-2006)</w:t>
      </w:r>
    </w:p>
    <w:p w14:paraId="1E55EE7A" w14:textId="77777777" w:rsidR="000F048A" w:rsidRDefault="00007689">
      <w:pPr>
        <w:pStyle w:val="Heading2"/>
        <w:spacing w:before="179"/>
        <w:rPr>
          <w:u w:val="none"/>
        </w:rPr>
      </w:pPr>
      <w:r>
        <w:t>PUBLICATIONS, AMICUS BRIEF &amp; INVITED CONFERENCES</w:t>
      </w:r>
    </w:p>
    <w:p w14:paraId="61AA75B1" w14:textId="77777777" w:rsidR="000F048A" w:rsidRDefault="000F048A">
      <w:pPr>
        <w:pStyle w:val="BodyText"/>
        <w:rPr>
          <w:b/>
        </w:rPr>
      </w:pPr>
    </w:p>
    <w:p w14:paraId="6371F58E" w14:textId="77777777" w:rsidR="000F048A" w:rsidRDefault="00007689">
      <w:pPr>
        <w:pStyle w:val="ListParagraph"/>
        <w:numPr>
          <w:ilvl w:val="0"/>
          <w:numId w:val="1"/>
        </w:numPr>
        <w:tabs>
          <w:tab w:val="left" w:pos="247"/>
        </w:tabs>
        <w:spacing w:line="242" w:lineRule="auto"/>
        <w:ind w:right="255" w:firstLine="0"/>
      </w:pPr>
      <w:r>
        <w:rPr>
          <w:i/>
        </w:rPr>
        <w:t xml:space="preserve">Challenging Statutory Accommodations for Religiously Affiliated Daycares: An Application of the </w:t>
      </w:r>
      <w:proofErr w:type="gramStart"/>
      <w:r>
        <w:rPr>
          <w:i/>
        </w:rPr>
        <w:t>Third Party</w:t>
      </w:r>
      <w:proofErr w:type="gramEnd"/>
      <w:r>
        <w:rPr>
          <w:i/>
        </w:rPr>
        <w:t xml:space="preserve"> Harm Doctrine</w:t>
      </w:r>
      <w:r>
        <w:t>, 86 Fordham L. Rev. 1393</w:t>
      </w:r>
      <w:r>
        <w:rPr>
          <w:spacing w:val="-6"/>
        </w:rPr>
        <w:t xml:space="preserve"> </w:t>
      </w:r>
      <w:r>
        <w:t>(2017)</w:t>
      </w:r>
    </w:p>
    <w:p w14:paraId="25E64079" w14:textId="77777777" w:rsidR="000F048A" w:rsidRDefault="00007689">
      <w:pPr>
        <w:pStyle w:val="ListParagraph"/>
        <w:numPr>
          <w:ilvl w:val="0"/>
          <w:numId w:val="1"/>
        </w:numPr>
        <w:tabs>
          <w:tab w:val="left" w:pos="247"/>
        </w:tabs>
        <w:ind w:right="116" w:firstLine="0"/>
      </w:pPr>
      <w:r>
        <w:rPr>
          <w:i/>
        </w:rPr>
        <w:t xml:space="preserve">Gender and Religious Dress at the European Court of Human Rights: A Comparison of </w:t>
      </w:r>
      <w:proofErr w:type="spellStart"/>
      <w:r>
        <w:rPr>
          <w:rFonts w:ascii="Cambria" w:hAnsi="Cambria"/>
          <w:i/>
        </w:rPr>
        <w:t>Ș</w:t>
      </w:r>
      <w:r>
        <w:rPr>
          <w:i/>
        </w:rPr>
        <w:t>ahin</w:t>
      </w:r>
      <w:proofErr w:type="spellEnd"/>
      <w:r>
        <w:rPr>
          <w:i/>
        </w:rPr>
        <w:t xml:space="preserve"> v. Turkey and Arslan v. Turkey</w:t>
      </w:r>
      <w:r>
        <w:t>, 87 Fordham L. Rev. Online 101</w:t>
      </w:r>
      <w:r>
        <w:rPr>
          <w:spacing w:val="-7"/>
        </w:rPr>
        <w:t xml:space="preserve"> </w:t>
      </w:r>
      <w:r>
        <w:t>(2018)</w:t>
      </w:r>
    </w:p>
    <w:p w14:paraId="0D442D6A" w14:textId="77777777" w:rsidR="000F048A" w:rsidRDefault="00007689">
      <w:pPr>
        <w:pStyle w:val="ListParagraph"/>
        <w:numPr>
          <w:ilvl w:val="0"/>
          <w:numId w:val="1"/>
        </w:numPr>
        <w:tabs>
          <w:tab w:val="left" w:pos="247"/>
        </w:tabs>
        <w:ind w:right="320" w:firstLine="0"/>
      </w:pPr>
      <w:r>
        <w:t>Contributed</w:t>
      </w:r>
      <w:r>
        <w:rPr>
          <w:spacing w:val="-2"/>
        </w:rPr>
        <w:t xml:space="preserve"> </w:t>
      </w:r>
      <w:r>
        <w:t>to:</w:t>
      </w:r>
      <w:r>
        <w:rPr>
          <w:spacing w:val="-3"/>
        </w:rPr>
        <w:t xml:space="preserve"> </w:t>
      </w:r>
      <w:r>
        <w:t>Second</w:t>
      </w:r>
      <w:r>
        <w:rPr>
          <w:spacing w:val="-5"/>
        </w:rPr>
        <w:t xml:space="preserve"> </w:t>
      </w:r>
      <w:r>
        <w:t>Fordham</w:t>
      </w:r>
      <w:r>
        <w:rPr>
          <w:spacing w:val="-2"/>
        </w:rPr>
        <w:t xml:space="preserve"> </w:t>
      </w:r>
      <w:r>
        <w:t>University</w:t>
      </w:r>
      <w:r>
        <w:rPr>
          <w:spacing w:val="-3"/>
        </w:rPr>
        <w:t xml:space="preserve"> </w:t>
      </w:r>
      <w:r>
        <w:t>School</w:t>
      </w:r>
      <w:r>
        <w:rPr>
          <w:spacing w:val="-3"/>
        </w:rPr>
        <w:t xml:space="preserve"> </w:t>
      </w:r>
      <w:r>
        <w:t>of</w:t>
      </w:r>
      <w:r>
        <w:rPr>
          <w:spacing w:val="-4"/>
        </w:rPr>
        <w:t xml:space="preserve"> </w:t>
      </w:r>
      <w:r>
        <w:t>Law</w:t>
      </w:r>
      <w:r>
        <w:rPr>
          <w:spacing w:val="-3"/>
        </w:rPr>
        <w:t xml:space="preserve"> </w:t>
      </w:r>
      <w:r>
        <w:t>Clinic</w:t>
      </w:r>
      <w:r>
        <w:rPr>
          <w:spacing w:val="-3"/>
        </w:rPr>
        <w:t xml:space="preserve"> </w:t>
      </w:r>
      <w:r>
        <w:t>on</w:t>
      </w:r>
      <w:r>
        <w:rPr>
          <w:spacing w:val="-2"/>
        </w:rPr>
        <w:t xml:space="preserve"> </w:t>
      </w:r>
      <w:r>
        <w:t>Presidential</w:t>
      </w:r>
      <w:r>
        <w:rPr>
          <w:spacing w:val="-3"/>
        </w:rPr>
        <w:t xml:space="preserve"> </w:t>
      </w:r>
      <w:r>
        <w:t>Succession,</w:t>
      </w:r>
      <w:r>
        <w:rPr>
          <w:spacing w:val="-4"/>
        </w:rPr>
        <w:t xml:space="preserve"> </w:t>
      </w:r>
      <w:r>
        <w:rPr>
          <w:i/>
        </w:rPr>
        <w:t>Fifty</w:t>
      </w:r>
      <w:r>
        <w:rPr>
          <w:i/>
          <w:spacing w:val="-2"/>
        </w:rPr>
        <w:t xml:space="preserve"> </w:t>
      </w:r>
      <w:r>
        <w:rPr>
          <w:i/>
        </w:rPr>
        <w:t>Years</w:t>
      </w:r>
      <w:r>
        <w:rPr>
          <w:i/>
          <w:spacing w:val="-2"/>
        </w:rPr>
        <w:t xml:space="preserve"> </w:t>
      </w:r>
      <w:r>
        <w:rPr>
          <w:i/>
        </w:rPr>
        <w:t>After</w:t>
      </w:r>
      <w:r>
        <w:rPr>
          <w:i/>
          <w:spacing w:val="-2"/>
        </w:rPr>
        <w:t xml:space="preserve"> </w:t>
      </w:r>
      <w:r>
        <w:rPr>
          <w:i/>
        </w:rPr>
        <w:t>the Twenty-Fifth</w:t>
      </w:r>
      <w:r>
        <w:rPr>
          <w:i/>
          <w:spacing w:val="-3"/>
        </w:rPr>
        <w:t xml:space="preserve"> </w:t>
      </w:r>
      <w:r>
        <w:rPr>
          <w:i/>
        </w:rPr>
        <w:t>Amendment:</w:t>
      </w:r>
      <w:r>
        <w:rPr>
          <w:i/>
          <w:spacing w:val="-3"/>
        </w:rPr>
        <w:t xml:space="preserve"> </w:t>
      </w:r>
      <w:r>
        <w:rPr>
          <w:i/>
        </w:rPr>
        <w:t>Recommendations</w:t>
      </w:r>
      <w:r>
        <w:rPr>
          <w:i/>
          <w:spacing w:val="-2"/>
        </w:rPr>
        <w:t xml:space="preserve"> </w:t>
      </w:r>
      <w:r>
        <w:rPr>
          <w:i/>
        </w:rPr>
        <w:t>for</w:t>
      </w:r>
      <w:r>
        <w:rPr>
          <w:i/>
          <w:spacing w:val="-2"/>
        </w:rPr>
        <w:t xml:space="preserve"> </w:t>
      </w:r>
      <w:r>
        <w:rPr>
          <w:i/>
        </w:rPr>
        <w:t>Improving</w:t>
      </w:r>
      <w:r>
        <w:rPr>
          <w:i/>
          <w:spacing w:val="-2"/>
        </w:rPr>
        <w:t xml:space="preserve"> </w:t>
      </w:r>
      <w:r>
        <w:rPr>
          <w:i/>
        </w:rPr>
        <w:t>the</w:t>
      </w:r>
      <w:r>
        <w:rPr>
          <w:i/>
          <w:spacing w:val="-3"/>
        </w:rPr>
        <w:t xml:space="preserve"> </w:t>
      </w:r>
      <w:r>
        <w:rPr>
          <w:i/>
        </w:rPr>
        <w:t>Presidential</w:t>
      </w:r>
      <w:r>
        <w:rPr>
          <w:i/>
          <w:spacing w:val="-3"/>
        </w:rPr>
        <w:t xml:space="preserve"> </w:t>
      </w:r>
      <w:r>
        <w:rPr>
          <w:i/>
        </w:rPr>
        <w:t>Succession</w:t>
      </w:r>
      <w:r>
        <w:rPr>
          <w:i/>
          <w:spacing w:val="-3"/>
        </w:rPr>
        <w:t xml:space="preserve"> </w:t>
      </w:r>
      <w:r>
        <w:rPr>
          <w:i/>
        </w:rPr>
        <w:t>System</w:t>
      </w:r>
      <w:r>
        <w:t>,</w:t>
      </w:r>
      <w:r>
        <w:rPr>
          <w:spacing w:val="-3"/>
        </w:rPr>
        <w:t xml:space="preserve"> </w:t>
      </w:r>
      <w:r>
        <w:t>86</w:t>
      </w:r>
      <w:r>
        <w:rPr>
          <w:spacing w:val="-5"/>
        </w:rPr>
        <w:t xml:space="preserve"> </w:t>
      </w:r>
      <w:r>
        <w:t>Fordham</w:t>
      </w:r>
      <w:r>
        <w:rPr>
          <w:spacing w:val="-1"/>
        </w:rPr>
        <w:t xml:space="preserve"> </w:t>
      </w:r>
      <w:r>
        <w:t>L.</w:t>
      </w:r>
      <w:r>
        <w:rPr>
          <w:spacing w:val="-5"/>
        </w:rPr>
        <w:t xml:space="preserve"> </w:t>
      </w:r>
      <w:r>
        <w:t>Rev.</w:t>
      </w:r>
      <w:r>
        <w:rPr>
          <w:spacing w:val="-3"/>
        </w:rPr>
        <w:t xml:space="preserve"> </w:t>
      </w:r>
      <w:r>
        <w:t>917</w:t>
      </w:r>
      <w:r>
        <w:rPr>
          <w:spacing w:val="-3"/>
        </w:rPr>
        <w:t xml:space="preserve"> </w:t>
      </w:r>
      <w:r>
        <w:t>(2017)</w:t>
      </w:r>
    </w:p>
    <w:p w14:paraId="0B8EEB9E" w14:textId="77777777" w:rsidR="000F048A" w:rsidRDefault="00007689">
      <w:pPr>
        <w:pStyle w:val="ListParagraph"/>
        <w:numPr>
          <w:ilvl w:val="0"/>
          <w:numId w:val="1"/>
        </w:numPr>
        <w:tabs>
          <w:tab w:val="left" w:pos="247"/>
        </w:tabs>
        <w:ind w:right="1034" w:firstLine="0"/>
      </w:pPr>
      <w:r>
        <w:rPr>
          <w:i/>
        </w:rPr>
        <w:t>Weyerhaeuser Co. v. U.S. Fish &amp; Wildlife Serv.</w:t>
      </w:r>
      <w:r>
        <w:t>, No. 17-71 (U.S. 2018) (author of Brief of Amicus Curiae for Evangelical Environmental Network, et al. In Support of</w:t>
      </w:r>
      <w:r>
        <w:rPr>
          <w:spacing w:val="-11"/>
        </w:rPr>
        <w:t xml:space="preserve"> </w:t>
      </w:r>
      <w:r>
        <w:t>Respondents)</w:t>
      </w:r>
    </w:p>
    <w:p w14:paraId="04F1B10B" w14:textId="77777777" w:rsidR="000F048A" w:rsidRDefault="00007689">
      <w:pPr>
        <w:pStyle w:val="ListParagraph"/>
        <w:numPr>
          <w:ilvl w:val="0"/>
          <w:numId w:val="1"/>
        </w:numPr>
        <w:tabs>
          <w:tab w:val="left" w:pos="247"/>
        </w:tabs>
        <w:spacing w:line="242" w:lineRule="auto"/>
        <w:ind w:right="491" w:firstLine="0"/>
      </w:pPr>
      <w:r>
        <w:rPr>
          <w:i/>
        </w:rPr>
        <w:t>Religious Freedom and The Margin of Appreciation</w:t>
      </w:r>
      <w:r>
        <w:t>, presentation at Humboldt Universität conference "Strangers and Others: The Contemporary Challenges of Identity and Migration"</w:t>
      </w:r>
      <w:r>
        <w:rPr>
          <w:spacing w:val="-14"/>
        </w:rPr>
        <w:t xml:space="preserve"> </w:t>
      </w:r>
      <w:r>
        <w:t>(2017).</w:t>
      </w:r>
    </w:p>
    <w:p w14:paraId="47219FA7" w14:textId="77777777" w:rsidR="000F048A" w:rsidRDefault="00007689">
      <w:pPr>
        <w:pStyle w:val="ListParagraph"/>
        <w:numPr>
          <w:ilvl w:val="0"/>
          <w:numId w:val="1"/>
        </w:numPr>
        <w:tabs>
          <w:tab w:val="left" w:pos="247"/>
        </w:tabs>
        <w:ind w:right="501" w:firstLine="0"/>
      </w:pPr>
      <w:r>
        <w:rPr>
          <w:i/>
        </w:rPr>
        <w:t>The Impact of the NYPD's Surveillance of Muslims on US Foreign Relations</w:t>
      </w:r>
      <w:r>
        <w:t>, presentation at the American Academy of Religion National Conference</w:t>
      </w:r>
      <w:r>
        <w:rPr>
          <w:spacing w:val="-3"/>
        </w:rPr>
        <w:t xml:space="preserve"> </w:t>
      </w:r>
      <w:r>
        <w:t>(2012)</w:t>
      </w:r>
    </w:p>
    <w:p w14:paraId="6FF6AD65" w14:textId="77777777" w:rsidR="000F048A" w:rsidRDefault="00007689">
      <w:pPr>
        <w:pStyle w:val="ListParagraph"/>
        <w:numPr>
          <w:ilvl w:val="0"/>
          <w:numId w:val="1"/>
        </w:numPr>
        <w:tabs>
          <w:tab w:val="left" w:pos="247"/>
        </w:tabs>
        <w:ind w:right="199" w:firstLine="0"/>
      </w:pPr>
      <w:r>
        <w:rPr>
          <w:i/>
        </w:rPr>
        <w:t>Religion and Public Education in Post-Colonial Tunisia: Histories and Opportunities</w:t>
      </w:r>
      <w:r>
        <w:t>, presentation at the American Academy of Religion National Conference</w:t>
      </w:r>
      <w:r>
        <w:rPr>
          <w:spacing w:val="-3"/>
        </w:rPr>
        <w:t xml:space="preserve"> </w:t>
      </w:r>
      <w:r>
        <w:t>(2011)</w:t>
      </w:r>
    </w:p>
    <w:p w14:paraId="6566F2D3" w14:textId="77777777" w:rsidR="000F048A" w:rsidRDefault="00007689">
      <w:pPr>
        <w:pStyle w:val="ListParagraph"/>
        <w:numPr>
          <w:ilvl w:val="0"/>
          <w:numId w:val="1"/>
        </w:numPr>
        <w:tabs>
          <w:tab w:val="left" w:pos="247"/>
        </w:tabs>
        <w:ind w:right="351" w:firstLine="0"/>
      </w:pPr>
      <w:r>
        <w:rPr>
          <w:i/>
        </w:rPr>
        <w:t>Gender</w:t>
      </w:r>
      <w:r>
        <w:rPr>
          <w:i/>
          <w:spacing w:val="-2"/>
        </w:rPr>
        <w:t xml:space="preserve"> </w:t>
      </w:r>
      <w:r>
        <w:rPr>
          <w:i/>
        </w:rPr>
        <w:t>and</w:t>
      </w:r>
      <w:r>
        <w:rPr>
          <w:i/>
          <w:spacing w:val="-2"/>
        </w:rPr>
        <w:t xml:space="preserve"> </w:t>
      </w:r>
      <w:r>
        <w:rPr>
          <w:i/>
        </w:rPr>
        <w:t>Religious</w:t>
      </w:r>
      <w:r>
        <w:rPr>
          <w:i/>
          <w:spacing w:val="-1"/>
        </w:rPr>
        <w:t xml:space="preserve"> </w:t>
      </w:r>
      <w:r>
        <w:rPr>
          <w:i/>
        </w:rPr>
        <w:t>Dress</w:t>
      </w:r>
      <w:r>
        <w:rPr>
          <w:i/>
          <w:spacing w:val="-2"/>
        </w:rPr>
        <w:t xml:space="preserve"> </w:t>
      </w:r>
      <w:r>
        <w:rPr>
          <w:i/>
        </w:rPr>
        <w:t>at</w:t>
      </w:r>
      <w:r>
        <w:rPr>
          <w:i/>
          <w:spacing w:val="-4"/>
        </w:rPr>
        <w:t xml:space="preserve"> </w:t>
      </w:r>
      <w:r>
        <w:rPr>
          <w:i/>
        </w:rPr>
        <w:t>the</w:t>
      </w:r>
      <w:r>
        <w:rPr>
          <w:i/>
          <w:spacing w:val="-1"/>
        </w:rPr>
        <w:t xml:space="preserve"> </w:t>
      </w:r>
      <w:r>
        <w:rPr>
          <w:i/>
        </w:rPr>
        <w:t>European</w:t>
      </w:r>
      <w:r>
        <w:rPr>
          <w:i/>
          <w:spacing w:val="-2"/>
        </w:rPr>
        <w:t xml:space="preserve"> </w:t>
      </w:r>
      <w:r>
        <w:rPr>
          <w:i/>
        </w:rPr>
        <w:t>Court</w:t>
      </w:r>
      <w:r>
        <w:rPr>
          <w:i/>
          <w:spacing w:val="-5"/>
        </w:rPr>
        <w:t xml:space="preserve"> </w:t>
      </w:r>
      <w:r>
        <w:rPr>
          <w:i/>
        </w:rPr>
        <w:t>of</w:t>
      </w:r>
      <w:r>
        <w:rPr>
          <w:i/>
          <w:spacing w:val="-2"/>
        </w:rPr>
        <w:t xml:space="preserve"> </w:t>
      </w:r>
      <w:r>
        <w:rPr>
          <w:i/>
        </w:rPr>
        <w:t>Human</w:t>
      </w:r>
      <w:r>
        <w:rPr>
          <w:i/>
          <w:spacing w:val="-2"/>
        </w:rPr>
        <w:t xml:space="preserve"> </w:t>
      </w:r>
      <w:r>
        <w:rPr>
          <w:i/>
        </w:rPr>
        <w:t>Rights</w:t>
      </w:r>
      <w:r>
        <w:t>,</w:t>
      </w:r>
      <w:r>
        <w:rPr>
          <w:spacing w:val="-4"/>
        </w:rPr>
        <w:t xml:space="preserve"> </w:t>
      </w:r>
      <w:r>
        <w:t>presentation</w:t>
      </w:r>
      <w:r>
        <w:rPr>
          <w:spacing w:val="-2"/>
        </w:rPr>
        <w:t xml:space="preserve"> </w:t>
      </w:r>
      <w:r>
        <w:t>at</w:t>
      </w:r>
      <w:r>
        <w:rPr>
          <w:spacing w:val="-3"/>
        </w:rPr>
        <w:t xml:space="preserve"> </w:t>
      </w:r>
      <w:r>
        <w:t>the</w:t>
      </w:r>
      <w:r>
        <w:rPr>
          <w:spacing w:val="-2"/>
        </w:rPr>
        <w:t xml:space="preserve"> </w:t>
      </w:r>
      <w:r>
        <w:t>American</w:t>
      </w:r>
      <w:r>
        <w:rPr>
          <w:spacing w:val="-2"/>
        </w:rPr>
        <w:t xml:space="preserve"> </w:t>
      </w:r>
      <w:r>
        <w:t>Academy</w:t>
      </w:r>
      <w:r>
        <w:rPr>
          <w:spacing w:val="-2"/>
        </w:rPr>
        <w:t xml:space="preserve"> </w:t>
      </w:r>
      <w:r>
        <w:t>of</w:t>
      </w:r>
      <w:r>
        <w:rPr>
          <w:spacing w:val="-3"/>
        </w:rPr>
        <w:t xml:space="preserve"> </w:t>
      </w:r>
      <w:r>
        <w:t>Religion National Conference</w:t>
      </w:r>
      <w:r>
        <w:rPr>
          <w:spacing w:val="-3"/>
        </w:rPr>
        <w:t xml:space="preserve"> </w:t>
      </w:r>
      <w:r>
        <w:t>(2010)</w:t>
      </w:r>
    </w:p>
    <w:p w14:paraId="397E81AA" w14:textId="77777777" w:rsidR="000F048A" w:rsidRDefault="00007689">
      <w:pPr>
        <w:pStyle w:val="ListParagraph"/>
        <w:numPr>
          <w:ilvl w:val="0"/>
          <w:numId w:val="1"/>
        </w:numPr>
        <w:tabs>
          <w:tab w:val="left" w:pos="247"/>
        </w:tabs>
        <w:spacing w:line="247" w:lineRule="exact"/>
        <w:ind w:left="246" w:hanging="134"/>
      </w:pPr>
      <w:r>
        <w:rPr>
          <w:i/>
        </w:rPr>
        <w:t xml:space="preserve">Religious Symbols and Public Education: A Discussion of </w:t>
      </w:r>
      <w:proofErr w:type="spellStart"/>
      <w:r>
        <w:rPr>
          <w:i/>
        </w:rPr>
        <w:t>Lautsi</w:t>
      </w:r>
      <w:proofErr w:type="spellEnd"/>
      <w:r>
        <w:rPr>
          <w:i/>
        </w:rPr>
        <w:t xml:space="preserve"> v. Italy</w:t>
      </w:r>
      <w:r>
        <w:t>, presentation at Harvard University</w:t>
      </w:r>
      <w:r>
        <w:rPr>
          <w:spacing w:val="-26"/>
        </w:rPr>
        <w:t xml:space="preserve"> </w:t>
      </w:r>
      <w:r>
        <w:t>(2009)</w:t>
      </w:r>
    </w:p>
    <w:p w14:paraId="454117A5" w14:textId="77777777" w:rsidR="000F048A" w:rsidRDefault="000F048A">
      <w:pPr>
        <w:pStyle w:val="BodyText"/>
        <w:spacing w:before="3"/>
        <w:rPr>
          <w:sz w:val="21"/>
        </w:rPr>
      </w:pPr>
    </w:p>
    <w:p w14:paraId="6D34FA51" w14:textId="77777777" w:rsidR="000F048A" w:rsidRDefault="00007689">
      <w:pPr>
        <w:pStyle w:val="Heading2"/>
        <w:rPr>
          <w:u w:val="none"/>
        </w:rPr>
      </w:pPr>
      <w:r>
        <w:t>LANGUAGES</w:t>
      </w:r>
    </w:p>
    <w:p w14:paraId="2473EC6A" w14:textId="77777777" w:rsidR="000F048A" w:rsidRDefault="000F048A">
      <w:pPr>
        <w:pStyle w:val="BodyText"/>
        <w:spacing w:before="11"/>
        <w:rPr>
          <w:b/>
          <w:sz w:val="21"/>
        </w:rPr>
      </w:pPr>
    </w:p>
    <w:p w14:paraId="0E416312" w14:textId="77777777" w:rsidR="000F048A" w:rsidRDefault="00007689">
      <w:pPr>
        <w:pStyle w:val="BodyText"/>
        <w:ind w:left="112"/>
      </w:pPr>
      <w:r>
        <w:t>German (intermediate), French (intermediate), Arabic (intermediate), Latin</w:t>
      </w:r>
    </w:p>
    <w:sectPr w:rsidR="000F048A">
      <w:pgSz w:w="12240" w:h="15840"/>
      <w:pgMar w:top="122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B6E77"/>
    <w:multiLevelType w:val="hybridMultilevel"/>
    <w:tmpl w:val="46C2102C"/>
    <w:lvl w:ilvl="0" w:tplc="ABDCC6E4">
      <w:numFmt w:val="bullet"/>
      <w:lvlText w:val="•"/>
      <w:lvlJc w:val="left"/>
      <w:pPr>
        <w:ind w:left="112" w:hanging="135"/>
      </w:pPr>
      <w:rPr>
        <w:rFonts w:ascii="Garamond" w:eastAsia="Garamond" w:hAnsi="Garamond" w:cs="Garamond" w:hint="default"/>
        <w:w w:val="100"/>
        <w:sz w:val="22"/>
        <w:szCs w:val="22"/>
        <w:lang w:val="en-US" w:eastAsia="en-US" w:bidi="en-US"/>
      </w:rPr>
    </w:lvl>
    <w:lvl w:ilvl="1" w:tplc="C71CF51E">
      <w:numFmt w:val="bullet"/>
      <w:lvlText w:val="•"/>
      <w:lvlJc w:val="left"/>
      <w:pPr>
        <w:ind w:left="1122" w:hanging="135"/>
      </w:pPr>
      <w:rPr>
        <w:rFonts w:hint="default"/>
        <w:lang w:val="en-US" w:eastAsia="en-US" w:bidi="en-US"/>
      </w:rPr>
    </w:lvl>
    <w:lvl w:ilvl="2" w:tplc="2AA8E280">
      <w:numFmt w:val="bullet"/>
      <w:lvlText w:val="•"/>
      <w:lvlJc w:val="left"/>
      <w:pPr>
        <w:ind w:left="2124" w:hanging="135"/>
      </w:pPr>
      <w:rPr>
        <w:rFonts w:hint="default"/>
        <w:lang w:val="en-US" w:eastAsia="en-US" w:bidi="en-US"/>
      </w:rPr>
    </w:lvl>
    <w:lvl w:ilvl="3" w:tplc="085E7332">
      <w:numFmt w:val="bullet"/>
      <w:lvlText w:val="•"/>
      <w:lvlJc w:val="left"/>
      <w:pPr>
        <w:ind w:left="3126" w:hanging="135"/>
      </w:pPr>
      <w:rPr>
        <w:rFonts w:hint="default"/>
        <w:lang w:val="en-US" w:eastAsia="en-US" w:bidi="en-US"/>
      </w:rPr>
    </w:lvl>
    <w:lvl w:ilvl="4" w:tplc="AAE8F1D6">
      <w:numFmt w:val="bullet"/>
      <w:lvlText w:val="•"/>
      <w:lvlJc w:val="left"/>
      <w:pPr>
        <w:ind w:left="4128" w:hanging="135"/>
      </w:pPr>
      <w:rPr>
        <w:rFonts w:hint="default"/>
        <w:lang w:val="en-US" w:eastAsia="en-US" w:bidi="en-US"/>
      </w:rPr>
    </w:lvl>
    <w:lvl w:ilvl="5" w:tplc="4176DAEA">
      <w:numFmt w:val="bullet"/>
      <w:lvlText w:val="•"/>
      <w:lvlJc w:val="left"/>
      <w:pPr>
        <w:ind w:left="5130" w:hanging="135"/>
      </w:pPr>
      <w:rPr>
        <w:rFonts w:hint="default"/>
        <w:lang w:val="en-US" w:eastAsia="en-US" w:bidi="en-US"/>
      </w:rPr>
    </w:lvl>
    <w:lvl w:ilvl="6" w:tplc="C3D4434C">
      <w:numFmt w:val="bullet"/>
      <w:lvlText w:val="•"/>
      <w:lvlJc w:val="left"/>
      <w:pPr>
        <w:ind w:left="6132" w:hanging="135"/>
      </w:pPr>
      <w:rPr>
        <w:rFonts w:hint="default"/>
        <w:lang w:val="en-US" w:eastAsia="en-US" w:bidi="en-US"/>
      </w:rPr>
    </w:lvl>
    <w:lvl w:ilvl="7" w:tplc="05ACD8DE">
      <w:numFmt w:val="bullet"/>
      <w:lvlText w:val="•"/>
      <w:lvlJc w:val="left"/>
      <w:pPr>
        <w:ind w:left="7134" w:hanging="135"/>
      </w:pPr>
      <w:rPr>
        <w:rFonts w:hint="default"/>
        <w:lang w:val="en-US" w:eastAsia="en-US" w:bidi="en-US"/>
      </w:rPr>
    </w:lvl>
    <w:lvl w:ilvl="8" w:tplc="70747DC6">
      <w:numFmt w:val="bullet"/>
      <w:lvlText w:val="•"/>
      <w:lvlJc w:val="left"/>
      <w:pPr>
        <w:ind w:left="8136" w:hanging="135"/>
      </w:pPr>
      <w:rPr>
        <w:rFonts w:hint="default"/>
        <w:lang w:val="en-US" w:eastAsia="en-US" w:bidi="en-US"/>
      </w:rPr>
    </w:lvl>
  </w:abstractNum>
  <w:num w:numId="1" w16cid:durableId="186057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8A"/>
    <w:rsid w:val="00007689"/>
    <w:rsid w:val="000541D3"/>
    <w:rsid w:val="000F048A"/>
    <w:rsid w:val="002F0158"/>
    <w:rsid w:val="003D100D"/>
    <w:rsid w:val="004462B4"/>
    <w:rsid w:val="0061637B"/>
    <w:rsid w:val="00951C01"/>
    <w:rsid w:val="00A00BF8"/>
    <w:rsid w:val="00A33793"/>
    <w:rsid w:val="00AF1D4F"/>
    <w:rsid w:val="00CB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46CF"/>
  <w15:docId w15:val="{CB3E0C0E-1977-4D24-BE53-6498B1F9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112"/>
      <w:outlineLvl w:val="0"/>
    </w:pPr>
    <w:rPr>
      <w:b/>
      <w:bCs/>
      <w:sz w:val="24"/>
      <w:szCs w:val="24"/>
      <w:u w:val="single" w:color="000000"/>
    </w:rPr>
  </w:style>
  <w:style w:type="paragraph" w:styleId="Heading2">
    <w:name w:val="heading 2"/>
    <w:basedOn w:val="Normal"/>
    <w:uiPriority w:val="9"/>
    <w:unhideWhenUsed/>
    <w:qFormat/>
    <w:pPr>
      <w:ind w:left="11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nwynroantre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Bronwyn Roantree</dc:creator>
  <cp:keywords>  </cp:keywords>
  <cp:lastModifiedBy>Roantree, Bronwyn</cp:lastModifiedBy>
  <cp:revision>2</cp:revision>
  <dcterms:created xsi:type="dcterms:W3CDTF">2022-09-07T16:05:00Z</dcterms:created>
  <dcterms:modified xsi:type="dcterms:W3CDTF">2022-09-07T16:05:00Z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Acrobat PDFMaker 19 for Word</vt:lpwstr>
  </property>
  <property fmtid="{D5CDD505-2E9C-101B-9397-08002B2CF9AE}" pid="4" name="LastSaved">
    <vt:filetime>2019-09-04T00:00:00Z</vt:filetime>
  </property>
</Properties>
</file>